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29638" w14:textId="77777777" w:rsidR="00BA3828" w:rsidRDefault="00BA3828" w:rsidP="00CE5D18">
      <w:pPr>
        <w:jc w:val="both"/>
      </w:pPr>
    </w:p>
    <w:p w14:paraId="25CEA003" w14:textId="77777777" w:rsidR="00BA3828" w:rsidRDefault="00BA3828" w:rsidP="00CE5D18">
      <w:pPr>
        <w:jc w:val="both"/>
      </w:pPr>
    </w:p>
    <w:p w14:paraId="7EC65063" w14:textId="2F4E039B" w:rsidR="00BA3828" w:rsidRDefault="00BA3828" w:rsidP="00CE5D18">
      <w:pPr>
        <w:jc w:val="both"/>
      </w:pPr>
    </w:p>
    <w:p w14:paraId="37181B20" w14:textId="11BB3C67" w:rsidR="00BA3828" w:rsidRDefault="00BA3828" w:rsidP="00CE5D18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7FE33E" wp14:editId="1F4863D3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3651250" cy="848995"/>
            <wp:effectExtent l="0" t="0" r="0" b="8255"/>
            <wp:wrapSquare wrapText="bothSides"/>
            <wp:docPr id="1" name="Imagen 1" descr="https://web.gruposaesa.cl/documents/20121/301806/gruposaesa.png/484a9845-378a-941f-1a7c-cf299a164648?t=1647974645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.gruposaesa.cl/documents/20121/301806/gruposaesa.png/484a9845-378a-941f-1a7c-cf299a164648?t=1647974645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104B5D" w14:textId="0B484417" w:rsidR="00BA3828" w:rsidRDefault="00BA3828" w:rsidP="00CE5D18">
      <w:pPr>
        <w:jc w:val="both"/>
      </w:pPr>
    </w:p>
    <w:p w14:paraId="1802E55E" w14:textId="43FB10AB" w:rsidR="00BA3828" w:rsidRDefault="00BA3828" w:rsidP="00CE5D18">
      <w:pPr>
        <w:jc w:val="both"/>
      </w:pPr>
    </w:p>
    <w:p w14:paraId="296B28B5" w14:textId="77777777" w:rsidR="00BA3828" w:rsidRDefault="00BA3828" w:rsidP="00CE5D18">
      <w:pPr>
        <w:jc w:val="both"/>
      </w:pPr>
    </w:p>
    <w:p w14:paraId="79DDACEB" w14:textId="77777777" w:rsidR="00BA3828" w:rsidRDefault="00BA3828" w:rsidP="00CE5D18">
      <w:pPr>
        <w:jc w:val="both"/>
      </w:pPr>
    </w:p>
    <w:p w14:paraId="3314CB5F" w14:textId="0E05704B" w:rsidR="00BA3828" w:rsidRDefault="00BB17A3" w:rsidP="00CE5D18">
      <w:pPr>
        <w:spacing w:before="120" w:after="120" w:line="240" w:lineRule="auto"/>
        <w:ind w:left="1124" w:right="669"/>
        <w:jc w:val="center"/>
        <w:rPr>
          <w:rFonts w:ascii="Calibri" w:eastAsia="Calibri" w:hAnsi="Calibri" w:cs="Calibri"/>
          <w:b/>
          <w:bCs/>
          <w:w w:val="99"/>
          <w:position w:val="2"/>
          <w:sz w:val="44"/>
          <w:szCs w:val="44"/>
        </w:rPr>
      </w:pPr>
      <w:r>
        <w:rPr>
          <w:rFonts w:ascii="Calibri" w:eastAsia="Calibri" w:hAnsi="Calibri" w:cs="Calibri"/>
          <w:b/>
          <w:bCs/>
          <w:position w:val="2"/>
          <w:sz w:val="44"/>
          <w:szCs w:val="44"/>
        </w:rPr>
        <w:t xml:space="preserve">PROTOCOLO </w:t>
      </w:r>
      <w:r w:rsidR="005C7089">
        <w:rPr>
          <w:rFonts w:ascii="Calibri" w:eastAsia="Calibri" w:hAnsi="Calibri" w:cs="Calibri"/>
          <w:b/>
          <w:bCs/>
          <w:position w:val="2"/>
          <w:sz w:val="44"/>
          <w:szCs w:val="44"/>
        </w:rPr>
        <w:t>DE A</w:t>
      </w:r>
      <w:r w:rsidR="0038338C">
        <w:rPr>
          <w:rFonts w:ascii="Calibri" w:eastAsia="Calibri" w:hAnsi="Calibri" w:cs="Calibri"/>
          <w:b/>
          <w:bCs/>
          <w:position w:val="2"/>
          <w:sz w:val="44"/>
          <w:szCs w:val="44"/>
        </w:rPr>
        <w:t>DQUISICIÓN DE BASES Y ENTREGA DE OFERTAS</w:t>
      </w:r>
    </w:p>
    <w:p w14:paraId="4C801B41" w14:textId="4DFDFC07" w:rsidR="000B3CB4" w:rsidRPr="00CE5D18" w:rsidRDefault="00BA3828" w:rsidP="00CE5D18">
      <w:pPr>
        <w:jc w:val="center"/>
        <w:rPr>
          <w:b/>
          <w:bCs/>
        </w:rPr>
      </w:pPr>
      <w:r w:rsidRPr="00CE5D18">
        <w:rPr>
          <w:b/>
          <w:bCs/>
        </w:rPr>
        <w:t>LICITACION PÚBLICA “CEN”</w:t>
      </w:r>
    </w:p>
    <w:p w14:paraId="23BA80B2" w14:textId="77777777" w:rsidR="000B3CB4" w:rsidRDefault="000B3CB4" w:rsidP="00CE5D18">
      <w:pPr>
        <w:jc w:val="both"/>
      </w:pPr>
      <w:r>
        <w:br w:type="page"/>
      </w:r>
    </w:p>
    <w:p w14:paraId="59EA699B" w14:textId="4F238A75" w:rsidR="00813508" w:rsidRPr="0006733E" w:rsidRDefault="0006733E" w:rsidP="00CE5D18">
      <w:pPr>
        <w:jc w:val="both"/>
        <w:rPr>
          <w:b/>
          <w:bCs/>
        </w:rPr>
      </w:pPr>
      <w:r w:rsidRPr="0006733E">
        <w:rPr>
          <w:b/>
          <w:bCs/>
        </w:rPr>
        <w:lastRenderedPageBreak/>
        <w:t>ÍNDICE</w:t>
      </w:r>
    </w:p>
    <w:p w14:paraId="37A9EE3C" w14:textId="77777777" w:rsidR="0006733E" w:rsidRDefault="0006733E" w:rsidP="0006733E">
      <w:pPr>
        <w:spacing w:line="480" w:lineRule="auto"/>
      </w:pPr>
      <w:r>
        <w:t>1.- Publicación de Bases.</w:t>
      </w:r>
    </w:p>
    <w:p w14:paraId="0D255249" w14:textId="77777777" w:rsidR="0006733E" w:rsidRDefault="0006733E" w:rsidP="0006733E">
      <w:pPr>
        <w:spacing w:line="480" w:lineRule="auto"/>
      </w:pPr>
      <w:r>
        <w:t>2.- Manifestación de participación.</w:t>
      </w:r>
    </w:p>
    <w:p w14:paraId="6BD26FDE" w14:textId="77777777" w:rsidR="0006733E" w:rsidRDefault="0006733E" w:rsidP="0006733E">
      <w:pPr>
        <w:spacing w:line="480" w:lineRule="auto"/>
      </w:pPr>
      <w:r>
        <w:t>3.- Invitación a proceso digital SAP ARIBA.</w:t>
      </w:r>
    </w:p>
    <w:p w14:paraId="4A74D9B6" w14:textId="77777777" w:rsidR="007B1577" w:rsidRDefault="0006733E" w:rsidP="0006733E">
      <w:pPr>
        <w:spacing w:line="480" w:lineRule="auto"/>
      </w:pPr>
      <w:r>
        <w:t>- Evento RFI (Módulo para cargar propuesta administrativa y técnica)</w:t>
      </w:r>
    </w:p>
    <w:p w14:paraId="2A63846F" w14:textId="27C4F843" w:rsidR="0006733E" w:rsidRDefault="0006733E" w:rsidP="0006733E">
      <w:pPr>
        <w:spacing w:line="480" w:lineRule="auto"/>
      </w:pPr>
      <w:r>
        <w:t>- Evento RFP (Módulo para cargar propuesta económica).</w:t>
      </w:r>
    </w:p>
    <w:p w14:paraId="46DC4E86" w14:textId="0FA83D4A" w:rsidR="0006733E" w:rsidRDefault="007B1577" w:rsidP="0006733E">
      <w:pPr>
        <w:spacing w:line="480" w:lineRule="auto"/>
      </w:pPr>
      <w:r>
        <w:t>4</w:t>
      </w:r>
      <w:r w:rsidR="0006733E">
        <w:t>.- Preguntas y Respuestas.</w:t>
      </w:r>
    </w:p>
    <w:p w14:paraId="0CBD3E01" w14:textId="7F0C9462" w:rsidR="0006733E" w:rsidRDefault="007B1577" w:rsidP="0006733E">
      <w:pPr>
        <w:spacing w:line="480" w:lineRule="auto"/>
      </w:pPr>
      <w:r>
        <w:t>5</w:t>
      </w:r>
      <w:r w:rsidR="0006733E">
        <w:t>.- Apertura de ofertas Administrativas y Técnicas.</w:t>
      </w:r>
    </w:p>
    <w:p w14:paraId="3F4943FA" w14:textId="040E11F8" w:rsidR="0006733E" w:rsidRPr="000B3CB4" w:rsidRDefault="007B1577" w:rsidP="0006733E">
      <w:pPr>
        <w:spacing w:line="480" w:lineRule="auto"/>
      </w:pPr>
      <w:r>
        <w:t>6</w:t>
      </w:r>
      <w:r w:rsidR="0006733E">
        <w:t>.- Aclaraciones.</w:t>
      </w:r>
      <w:r w:rsidR="000B3CB4" w:rsidRPr="000B3CB4">
        <w:br/>
      </w:r>
    </w:p>
    <w:p w14:paraId="5B88D51D" w14:textId="09E31368" w:rsidR="00153FEF" w:rsidRDefault="000B3CB4" w:rsidP="00CE5D18">
      <w:pPr>
        <w:spacing w:line="480" w:lineRule="auto"/>
      </w:pPr>
      <w:r w:rsidRPr="000B3CB4">
        <w:br/>
      </w:r>
      <w:r w:rsidR="00153FEF">
        <w:br w:type="page"/>
      </w:r>
    </w:p>
    <w:p w14:paraId="341BFDAD" w14:textId="422ECCC3" w:rsidR="001A4327" w:rsidRDefault="001A4327" w:rsidP="001A4327">
      <w:pPr>
        <w:jc w:val="center"/>
        <w:rPr>
          <w:b/>
          <w:bCs/>
        </w:rPr>
      </w:pPr>
      <w:r>
        <w:rPr>
          <w:b/>
          <w:bCs/>
        </w:rPr>
        <w:lastRenderedPageBreak/>
        <w:t>Introducción.</w:t>
      </w:r>
    </w:p>
    <w:p w14:paraId="75C182DB" w14:textId="37F010E0" w:rsidR="001A4327" w:rsidRDefault="001A4327" w:rsidP="00CE5D18">
      <w:pPr>
        <w:jc w:val="both"/>
      </w:pPr>
      <w:r>
        <w:t xml:space="preserve">El presente documento tiene por objeto orientar a los oferentes al procedimiento de adquisición de bases, y presentación de ofertas efectuado por el Propietario, en el contexto de las obras de ampliación correspondientes </w:t>
      </w:r>
      <w:r>
        <w:rPr>
          <w:rStyle w:val="Textoennegrita"/>
        </w:rPr>
        <w:t>Decretos Exento Nº4/2024</w:t>
      </w:r>
      <w:r>
        <w:t xml:space="preserve">  y  </w:t>
      </w:r>
      <w:r>
        <w:rPr>
          <w:rStyle w:val="Textoennegrita"/>
        </w:rPr>
        <w:t>Decreto Exento 266/2024</w:t>
      </w:r>
      <w:r>
        <w:t>.</w:t>
      </w:r>
    </w:p>
    <w:p w14:paraId="25C69B0E" w14:textId="76263E64" w:rsidR="001A4327" w:rsidRPr="001A4327" w:rsidRDefault="001A4327" w:rsidP="001A4327">
      <w:pPr>
        <w:jc w:val="both"/>
        <w:rPr>
          <w:i/>
          <w:iCs/>
        </w:rPr>
      </w:pPr>
      <w:r>
        <w:t xml:space="preserve">Para estos efectos se entenderá por </w:t>
      </w:r>
      <w:r w:rsidRPr="001A4327">
        <w:rPr>
          <w:b/>
          <w:bCs/>
        </w:rPr>
        <w:t>Evento</w:t>
      </w:r>
      <w:r>
        <w:t xml:space="preserve">: </w:t>
      </w:r>
      <w:r w:rsidRPr="001A4327">
        <w:rPr>
          <w:i/>
          <w:iCs/>
        </w:rPr>
        <w:t xml:space="preserve">El </w:t>
      </w:r>
      <w:r w:rsidRPr="001A4327">
        <w:rPr>
          <w:i/>
          <w:iCs/>
        </w:rPr>
        <w:t xml:space="preserve">mecanismo electrónico de recepción y apertura de las ofertas, </w:t>
      </w:r>
      <w:r w:rsidRPr="001A4327">
        <w:rPr>
          <w:i/>
          <w:iCs/>
        </w:rPr>
        <w:t>efectuado en la plataforma</w:t>
      </w:r>
      <w:r w:rsidRPr="001A4327">
        <w:rPr>
          <w:i/>
          <w:iCs/>
        </w:rPr>
        <w:t xml:space="preserve"> SAP ARIBA,</w:t>
      </w:r>
      <w:r w:rsidRPr="001A4327">
        <w:rPr>
          <w:i/>
          <w:iCs/>
        </w:rPr>
        <w:t xml:space="preserve"> en el cual, existe</w:t>
      </w:r>
      <w:r w:rsidRPr="001A4327">
        <w:rPr>
          <w:i/>
          <w:iCs/>
        </w:rPr>
        <w:t xml:space="preserve"> plantilla </w:t>
      </w:r>
      <w:r w:rsidRPr="001A4327">
        <w:rPr>
          <w:i/>
          <w:iCs/>
        </w:rPr>
        <w:t xml:space="preserve">con </w:t>
      </w:r>
      <w:r w:rsidRPr="001A4327">
        <w:rPr>
          <w:i/>
          <w:iCs/>
        </w:rPr>
        <w:t>cada uno de los actos administrativos que tiene esta licitación, tales como Actas de apertura y Actas de Evaluación.</w:t>
      </w:r>
      <w:r>
        <w:rPr>
          <w:i/>
          <w:iCs/>
        </w:rPr>
        <w:t xml:space="preserve"> </w:t>
      </w:r>
      <w:r w:rsidRPr="001A4327">
        <w:rPr>
          <w:i/>
          <w:iCs/>
        </w:rPr>
        <w:t>Cada proponente que adquiera el derecho a participación obtendrá el link que los conducirá a dicho mecanismo, uno para que cargue lo administrativo y técnico, y otro para lo económico.</w:t>
      </w:r>
    </w:p>
    <w:p w14:paraId="330A7EC1" w14:textId="4F3741B3" w:rsidR="001A4327" w:rsidRDefault="001A4327" w:rsidP="00CE5D18">
      <w:pPr>
        <w:jc w:val="both"/>
      </w:pPr>
    </w:p>
    <w:p w14:paraId="5545C881" w14:textId="077AF171" w:rsidR="00D1529C" w:rsidRPr="00CE5D18" w:rsidRDefault="0044757C" w:rsidP="00CE5D18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 w:rsidRPr="00CE5D18">
        <w:rPr>
          <w:b/>
          <w:bCs/>
        </w:rPr>
        <w:t>Publicación de Bases</w:t>
      </w:r>
    </w:p>
    <w:p w14:paraId="2904AE9D" w14:textId="7961F667" w:rsidR="0044757C" w:rsidRDefault="0044757C" w:rsidP="00CE5D18">
      <w:pPr>
        <w:pStyle w:val="Prrafodelista"/>
        <w:numPr>
          <w:ilvl w:val="0"/>
          <w:numId w:val="1"/>
        </w:numPr>
        <w:jc w:val="both"/>
      </w:pPr>
      <w:r>
        <w:t>A través de los eventos</w:t>
      </w:r>
      <w:r w:rsidR="00A00738">
        <w:t>, se alojará el paquete licitatorio que incluye todos los documentos-bases que forman parte del proceso.</w:t>
      </w:r>
    </w:p>
    <w:p w14:paraId="651919D2" w14:textId="6FE05C56" w:rsidR="00A754AF" w:rsidRDefault="00A754AF" w:rsidP="00CE5D18">
      <w:pPr>
        <w:pStyle w:val="Prrafodelista"/>
        <w:numPr>
          <w:ilvl w:val="0"/>
          <w:numId w:val="1"/>
        </w:numPr>
        <w:jc w:val="both"/>
      </w:pPr>
      <w:r>
        <w:t xml:space="preserve">Así también, </w:t>
      </w:r>
      <w:r w:rsidRPr="00A754AF">
        <w:t xml:space="preserve">en la noticia publicada en el </w:t>
      </w:r>
      <w:r>
        <w:t>h</w:t>
      </w:r>
      <w:r w:rsidRPr="00A754AF">
        <w:t xml:space="preserve">ome del sitio </w:t>
      </w:r>
      <w:r>
        <w:t>web</w:t>
      </w:r>
      <w:r w:rsidRPr="00A754AF">
        <w:t xml:space="preserve"> www.gruposaesa.cl, sección sala de prensa</w:t>
      </w:r>
      <w:r>
        <w:t>, estarán todos los antecedentes de forma pública.</w:t>
      </w:r>
      <w:r w:rsidR="006545DD">
        <w:t xml:space="preserve"> </w:t>
      </w:r>
    </w:p>
    <w:p w14:paraId="69E9DE8E" w14:textId="52DD209C" w:rsidR="006545DD" w:rsidRDefault="006545DD" w:rsidP="00CE5D18">
      <w:pPr>
        <w:pStyle w:val="Prrafodelista"/>
        <w:numPr>
          <w:ilvl w:val="0"/>
          <w:numId w:val="1"/>
        </w:numPr>
        <w:jc w:val="both"/>
      </w:pPr>
      <w:r>
        <w:t xml:space="preserve">Por último, habrá un inserto en medio nacional “Diario Financiero” que </w:t>
      </w:r>
      <w:r w:rsidR="00B13217">
        <w:t>indicará dónde y cómo se obtienen los antecedentes del proceso, señalando la página Web antes descrita.</w:t>
      </w:r>
    </w:p>
    <w:p w14:paraId="3AE006D9" w14:textId="68B6790A" w:rsidR="006E058B" w:rsidRPr="00CE5D18" w:rsidRDefault="006E058B" w:rsidP="00CE5D18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 w:rsidRPr="00CE5D18">
        <w:rPr>
          <w:b/>
          <w:bCs/>
        </w:rPr>
        <w:t>Manifestación de participación</w:t>
      </w:r>
    </w:p>
    <w:p w14:paraId="4FEBB85D" w14:textId="735658CE" w:rsidR="006E058B" w:rsidRDefault="00217C3E" w:rsidP="00CE5D18">
      <w:pPr>
        <w:pStyle w:val="Prrafodelista"/>
        <w:numPr>
          <w:ilvl w:val="0"/>
          <w:numId w:val="1"/>
        </w:numPr>
        <w:jc w:val="both"/>
      </w:pPr>
      <w:r>
        <w:t xml:space="preserve">Para esta etapa, dispondremos en página Web de un botón de pago que se alojará en </w:t>
      </w:r>
      <w:r w:rsidR="009A16AE">
        <w:t>la noticia publicada en Home del sitio web de Grupo Saesa</w:t>
      </w:r>
      <w:r w:rsidR="00DB6E97">
        <w:t>:</w:t>
      </w:r>
      <w:r w:rsidR="009A16AE">
        <w:t xml:space="preserve"> </w:t>
      </w:r>
      <w:hyperlink r:id="rId11" w:history="1">
        <w:r w:rsidR="00DB6E97" w:rsidRPr="003261AE">
          <w:rPr>
            <w:rStyle w:val="Hipervnculo"/>
          </w:rPr>
          <w:t>www.gruposaesa.cl</w:t>
        </w:r>
      </w:hyperlink>
      <w:r w:rsidR="00DB6E97">
        <w:t>, sección sala de prensa.</w:t>
      </w:r>
    </w:p>
    <w:p w14:paraId="6F97AC61" w14:textId="39CA41BB" w:rsidR="001A4327" w:rsidRPr="001A4327" w:rsidRDefault="00DB6E97" w:rsidP="001A4327">
      <w:pPr>
        <w:pStyle w:val="Prrafodelista"/>
        <w:jc w:val="both"/>
        <w:rPr>
          <w:b/>
          <w:bCs/>
        </w:rPr>
      </w:pPr>
      <w:r>
        <w:t>De todas formas, habrán más medios de pago, como transferencia bancaria</w:t>
      </w:r>
      <w:r w:rsidR="006E5DC4">
        <w:t xml:space="preserve"> para realizar depósito en cuenta (recaudación </w:t>
      </w:r>
      <w:r w:rsidR="00E15E81">
        <w:t>dará esa información)</w:t>
      </w:r>
      <w:r w:rsidR="001A4327">
        <w:t>, los cuales se encuentran prescritos en las bases de licitación.</w:t>
      </w:r>
    </w:p>
    <w:p w14:paraId="732BE8C1" w14:textId="2DF6C95C" w:rsidR="00DB6E97" w:rsidRPr="001A4327" w:rsidRDefault="00DB6E97" w:rsidP="00213A8E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 w:rsidRPr="001A4327">
        <w:rPr>
          <w:b/>
          <w:bCs/>
        </w:rPr>
        <w:t>Invitación a proceso digital SAP ARIBA</w:t>
      </w:r>
    </w:p>
    <w:p w14:paraId="74775868" w14:textId="6F25000B" w:rsidR="000B3CB4" w:rsidRDefault="00F61AA3" w:rsidP="00CE5D18">
      <w:pPr>
        <w:pStyle w:val="Prrafodelista"/>
        <w:numPr>
          <w:ilvl w:val="0"/>
          <w:numId w:val="1"/>
        </w:numPr>
        <w:jc w:val="both"/>
      </w:pPr>
      <w:r>
        <w:t xml:space="preserve">Quienes manifiesten </w:t>
      </w:r>
      <w:r w:rsidR="00590854">
        <w:t>participación</w:t>
      </w:r>
      <w:r w:rsidR="003219D8">
        <w:t xml:space="preserve"> (pago)</w:t>
      </w:r>
      <w:r w:rsidR="00590854">
        <w:t>, se les cursará invitación</w:t>
      </w:r>
      <w:r w:rsidR="005E4ADD">
        <w:t xml:space="preserve"> a través de correo electrónico</w:t>
      </w:r>
      <w:r w:rsidR="00590854">
        <w:t xml:space="preserve"> a unirse</w:t>
      </w:r>
      <w:r w:rsidR="002D7264">
        <w:t xml:space="preserve"> al proceso</w:t>
      </w:r>
      <w:r w:rsidR="003219D8">
        <w:t xml:space="preserve"> por plataforma SAP ARIBA</w:t>
      </w:r>
      <w:r w:rsidR="005E4ADD">
        <w:t>, donde van a estar los eventos respectivos (RFI y RFP)</w:t>
      </w:r>
      <w:r w:rsidR="00AA2718">
        <w:t xml:space="preserve">, el cual será acompañado de </w:t>
      </w:r>
      <w:r w:rsidR="002613F6">
        <w:t>aceptar declaración de aceptación prerrequisitos y confirmación lotes</w:t>
      </w:r>
      <w:r w:rsidR="00785B72">
        <w:t xml:space="preserve"> (acceder a ingresar ofertas)</w:t>
      </w:r>
      <w:r w:rsidR="002613F6">
        <w:t>.</w:t>
      </w:r>
    </w:p>
    <w:p w14:paraId="2E8B418F" w14:textId="2E5FFAC7" w:rsidR="00785B72" w:rsidRDefault="00FC70BA" w:rsidP="00CE5D18">
      <w:pPr>
        <w:pStyle w:val="Prrafodelista"/>
        <w:numPr>
          <w:ilvl w:val="0"/>
          <w:numId w:val="1"/>
        </w:numPr>
        <w:jc w:val="both"/>
      </w:pPr>
      <w:r>
        <w:t>Dentro de la plataforma, se podrá participar en los siguientes eventos:</w:t>
      </w:r>
    </w:p>
    <w:p w14:paraId="3C0A25A0" w14:textId="70B676AE" w:rsidR="00590854" w:rsidRPr="00CE5D18" w:rsidRDefault="00161683" w:rsidP="007B1577">
      <w:pPr>
        <w:pStyle w:val="Prrafodelista"/>
        <w:jc w:val="both"/>
        <w:rPr>
          <w:b/>
          <w:bCs/>
        </w:rPr>
      </w:pPr>
      <w:r w:rsidRPr="001A4327">
        <w:rPr>
          <w:b/>
          <w:bCs/>
        </w:rPr>
        <w:t>Evento</w:t>
      </w:r>
      <w:r w:rsidRPr="00CE5D18">
        <w:rPr>
          <w:b/>
          <w:bCs/>
        </w:rPr>
        <w:t xml:space="preserve"> </w:t>
      </w:r>
      <w:r w:rsidR="002D7264" w:rsidRPr="00CE5D18">
        <w:rPr>
          <w:b/>
          <w:bCs/>
        </w:rPr>
        <w:t>para cargar oferta administrativa y técnica</w:t>
      </w:r>
      <w:r w:rsidR="003219D8" w:rsidRPr="00CE5D18">
        <w:rPr>
          <w:b/>
          <w:bCs/>
        </w:rPr>
        <w:t xml:space="preserve"> (RFI)</w:t>
      </w:r>
    </w:p>
    <w:p w14:paraId="7F37BC09" w14:textId="168ABA5D" w:rsidR="00161683" w:rsidRDefault="00161683" w:rsidP="00CE5D18">
      <w:pPr>
        <w:pStyle w:val="Prrafodelista"/>
        <w:numPr>
          <w:ilvl w:val="1"/>
          <w:numId w:val="1"/>
        </w:numPr>
        <w:jc w:val="both"/>
      </w:pPr>
      <w:r>
        <w:lastRenderedPageBreak/>
        <w:t xml:space="preserve">Por medio de </w:t>
      </w:r>
      <w:r w:rsidR="002D7264">
        <w:t xml:space="preserve">un </w:t>
      </w:r>
      <w:r>
        <w:t>evento</w:t>
      </w:r>
      <w:r w:rsidR="002D7264">
        <w:t xml:space="preserve"> en particular</w:t>
      </w:r>
      <w:r>
        <w:t xml:space="preserve">, proponentes </w:t>
      </w:r>
      <w:r w:rsidR="00E05D54">
        <w:t>podrán</w:t>
      </w:r>
      <w:r>
        <w:t xml:space="preserve"> cargar oferta administrativa y técnica.</w:t>
      </w:r>
    </w:p>
    <w:p w14:paraId="70CF74EF" w14:textId="1B1A9149" w:rsidR="00161683" w:rsidRPr="00CE5D18" w:rsidRDefault="00161683" w:rsidP="007B1577">
      <w:pPr>
        <w:pStyle w:val="Prrafodelista"/>
        <w:jc w:val="both"/>
        <w:rPr>
          <w:b/>
          <w:bCs/>
        </w:rPr>
      </w:pPr>
      <w:r w:rsidRPr="00CE5D18">
        <w:rPr>
          <w:b/>
          <w:bCs/>
        </w:rPr>
        <w:t xml:space="preserve">Evento </w:t>
      </w:r>
      <w:r w:rsidR="00FC75BF" w:rsidRPr="00CE5D18">
        <w:rPr>
          <w:b/>
          <w:bCs/>
        </w:rPr>
        <w:t>para cargar oferta económica</w:t>
      </w:r>
      <w:r w:rsidR="003219D8" w:rsidRPr="00CE5D18">
        <w:rPr>
          <w:b/>
          <w:bCs/>
        </w:rPr>
        <w:t xml:space="preserve"> (RFP)</w:t>
      </w:r>
    </w:p>
    <w:p w14:paraId="062360EF" w14:textId="354DFD6E" w:rsidR="00161683" w:rsidRDefault="00771323" w:rsidP="00CE5D18">
      <w:pPr>
        <w:pStyle w:val="Prrafodelista"/>
        <w:numPr>
          <w:ilvl w:val="1"/>
          <w:numId w:val="1"/>
        </w:numPr>
        <w:jc w:val="both"/>
      </w:pPr>
      <w:r>
        <w:t xml:space="preserve">En paralelo a evento donde se carga oferta administrativa y técnica, </w:t>
      </w:r>
      <w:r w:rsidR="00FC75BF">
        <w:t>tendrán a disposición un evento para cargar oferta económica.</w:t>
      </w:r>
    </w:p>
    <w:p w14:paraId="221658C3" w14:textId="5D6DEF4C" w:rsidR="00FC75BF" w:rsidRPr="00CE5D18" w:rsidRDefault="00BC78D2" w:rsidP="00CE5D18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 w:rsidRPr="00CE5D18">
        <w:rPr>
          <w:b/>
          <w:bCs/>
        </w:rPr>
        <w:t>Preguntas y respuestas</w:t>
      </w:r>
    </w:p>
    <w:p w14:paraId="45A5F405" w14:textId="27A4DE45" w:rsidR="00BC78D2" w:rsidRDefault="00DD21B7" w:rsidP="00CE5D18">
      <w:pPr>
        <w:pStyle w:val="Prrafodelista"/>
        <w:numPr>
          <w:ilvl w:val="0"/>
          <w:numId w:val="1"/>
        </w:numPr>
        <w:jc w:val="both"/>
      </w:pPr>
      <w:r>
        <w:t>E</w:t>
      </w:r>
      <w:r w:rsidR="009567DB" w:rsidRPr="00022F20">
        <w:t xml:space="preserve">xistirá </w:t>
      </w:r>
      <w:r w:rsidR="00022F20">
        <w:t>el formato</w:t>
      </w:r>
      <w:r>
        <w:t xml:space="preserve"> “Preguntas y Respuestas”, el cual será compartido e</w:t>
      </w:r>
      <w:r w:rsidRPr="00022F20">
        <w:t>n el evento RFI,</w:t>
      </w:r>
      <w:r>
        <w:t xml:space="preserve"> para que proponentes completen con sus preguntas y las deriven a través de casilla “Mensajes”</w:t>
      </w:r>
      <w:r w:rsidR="000B4E9F">
        <w:t xml:space="preserve">. </w:t>
      </w:r>
    </w:p>
    <w:p w14:paraId="0FB6F796" w14:textId="6F77F83F" w:rsidR="003B6899" w:rsidRPr="00CE5D18" w:rsidRDefault="003B6899" w:rsidP="00CE5D18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 w:rsidRPr="00CE5D18">
        <w:rPr>
          <w:b/>
          <w:bCs/>
        </w:rPr>
        <w:t>Apertura de ofertas administrativas y técnicas</w:t>
      </w:r>
    </w:p>
    <w:p w14:paraId="7944F9D3" w14:textId="05044C5C" w:rsidR="003B6899" w:rsidRPr="003B6899" w:rsidRDefault="003B6899" w:rsidP="00CE5D18">
      <w:pPr>
        <w:pStyle w:val="Prrafodelista"/>
        <w:numPr>
          <w:ilvl w:val="0"/>
          <w:numId w:val="1"/>
        </w:numPr>
        <w:jc w:val="both"/>
        <w:rPr>
          <w:b/>
          <w:bCs/>
        </w:rPr>
      </w:pPr>
      <w:r>
        <w:t xml:space="preserve">En fecha señalada en calendario </w:t>
      </w:r>
      <w:r w:rsidR="001A0CF5">
        <w:t>a compartir</w:t>
      </w:r>
      <w:r>
        <w:t xml:space="preserve">, se </w:t>
      </w:r>
      <w:r w:rsidR="00E13451">
        <w:t>apertura</w:t>
      </w:r>
      <w:r>
        <w:t xml:space="preserve"> </w:t>
      </w:r>
      <w:r w:rsidR="00E13451">
        <w:t xml:space="preserve">las </w:t>
      </w:r>
      <w:r>
        <w:t>ofertas para evaluarlas, y emitir solicitud de aclaraciones.</w:t>
      </w:r>
    </w:p>
    <w:p w14:paraId="16FE5AB4" w14:textId="7A823563" w:rsidR="003B6899" w:rsidRPr="00E13451" w:rsidRDefault="003B6899" w:rsidP="00E13451">
      <w:pPr>
        <w:pStyle w:val="Prrafodelista"/>
        <w:numPr>
          <w:ilvl w:val="0"/>
          <w:numId w:val="2"/>
        </w:numPr>
        <w:jc w:val="both"/>
        <w:rPr>
          <w:b/>
          <w:bCs/>
        </w:rPr>
      </w:pPr>
      <w:r w:rsidRPr="00E13451">
        <w:rPr>
          <w:b/>
          <w:bCs/>
        </w:rPr>
        <w:t>Aclaraciones</w:t>
      </w:r>
    </w:p>
    <w:p w14:paraId="5CFEA0C9" w14:textId="5EA5491F" w:rsidR="003B6899" w:rsidRPr="00C227F1" w:rsidRDefault="001A0CF5" w:rsidP="00CE5D18">
      <w:pPr>
        <w:pStyle w:val="Prrafodelista"/>
        <w:numPr>
          <w:ilvl w:val="0"/>
          <w:numId w:val="1"/>
        </w:numPr>
        <w:jc w:val="both"/>
        <w:rPr>
          <w:b/>
          <w:bCs/>
        </w:rPr>
      </w:pPr>
      <w:r>
        <w:t>Según evaluación preliminar, será posible requerir rectificaciones administrativas y técnicas a proponentes a través de evento ARIBA.</w:t>
      </w:r>
    </w:p>
    <w:p w14:paraId="2ED3ED7A" w14:textId="77777777" w:rsidR="00C227F1" w:rsidRPr="00C227F1" w:rsidRDefault="00C227F1" w:rsidP="00CE5D18">
      <w:pPr>
        <w:jc w:val="both"/>
        <w:rPr>
          <w:b/>
          <w:bCs/>
        </w:rPr>
      </w:pPr>
    </w:p>
    <w:p w14:paraId="0E41EA4C" w14:textId="43EDF752" w:rsidR="002651AF" w:rsidRPr="002651AF" w:rsidRDefault="002651AF" w:rsidP="00CE5D18">
      <w:pPr>
        <w:pStyle w:val="Prrafodelista"/>
        <w:jc w:val="both"/>
        <w:rPr>
          <w:b/>
          <w:bCs/>
        </w:rPr>
      </w:pPr>
    </w:p>
    <w:p w14:paraId="2CE5B589" w14:textId="77777777" w:rsidR="003B6899" w:rsidRDefault="003B6899" w:rsidP="00CE5D18">
      <w:pPr>
        <w:jc w:val="both"/>
      </w:pPr>
    </w:p>
    <w:sectPr w:rsidR="003B6899"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77413" w14:textId="77777777" w:rsidR="00550112" w:rsidRDefault="00550112" w:rsidP="00550112">
      <w:pPr>
        <w:spacing w:after="0" w:line="240" w:lineRule="auto"/>
      </w:pPr>
      <w:r>
        <w:separator/>
      </w:r>
    </w:p>
  </w:endnote>
  <w:endnote w:type="continuationSeparator" w:id="0">
    <w:p w14:paraId="23CD5184" w14:textId="77777777" w:rsidR="00550112" w:rsidRDefault="00550112" w:rsidP="0055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605308"/>
      <w:docPartObj>
        <w:docPartGallery w:val="Page Numbers (Bottom of Page)"/>
        <w:docPartUnique/>
      </w:docPartObj>
    </w:sdtPr>
    <w:sdtContent>
      <w:p w14:paraId="007E35AF" w14:textId="759E6A9D" w:rsidR="00550112" w:rsidRDefault="0055011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2D6317D2" w14:textId="77777777" w:rsidR="00550112" w:rsidRDefault="0055011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7F7B8" w14:textId="77777777" w:rsidR="00550112" w:rsidRDefault="00550112" w:rsidP="00550112">
      <w:pPr>
        <w:spacing w:after="0" w:line="240" w:lineRule="auto"/>
      </w:pPr>
      <w:r>
        <w:separator/>
      </w:r>
    </w:p>
  </w:footnote>
  <w:footnote w:type="continuationSeparator" w:id="0">
    <w:p w14:paraId="1F3E90C0" w14:textId="77777777" w:rsidR="00550112" w:rsidRDefault="00550112" w:rsidP="00550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335BA"/>
    <w:multiLevelType w:val="hybridMultilevel"/>
    <w:tmpl w:val="BD0E48A8"/>
    <w:lvl w:ilvl="0" w:tplc="DED4ED5E">
      <w:start w:val="1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81837"/>
    <w:multiLevelType w:val="hybridMultilevel"/>
    <w:tmpl w:val="0458070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776507">
    <w:abstractNumId w:val="0"/>
  </w:num>
  <w:num w:numId="2" w16cid:durableId="1331523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828"/>
    <w:rsid w:val="00022F20"/>
    <w:rsid w:val="00050856"/>
    <w:rsid w:val="0006733E"/>
    <w:rsid w:val="000B3CB4"/>
    <w:rsid w:val="000B4E9F"/>
    <w:rsid w:val="00137EAB"/>
    <w:rsid w:val="00152DEA"/>
    <w:rsid w:val="00153FEF"/>
    <w:rsid w:val="00161683"/>
    <w:rsid w:val="001A0CF5"/>
    <w:rsid w:val="001A4327"/>
    <w:rsid w:val="00217C3E"/>
    <w:rsid w:val="00233CAF"/>
    <w:rsid w:val="002613F6"/>
    <w:rsid w:val="002651AF"/>
    <w:rsid w:val="002D7264"/>
    <w:rsid w:val="003219D8"/>
    <w:rsid w:val="003578F1"/>
    <w:rsid w:val="0038338C"/>
    <w:rsid w:val="003B6899"/>
    <w:rsid w:val="003E201A"/>
    <w:rsid w:val="0044757C"/>
    <w:rsid w:val="00546DE0"/>
    <w:rsid w:val="00550112"/>
    <w:rsid w:val="00590854"/>
    <w:rsid w:val="005C7089"/>
    <w:rsid w:val="005E1FF4"/>
    <w:rsid w:val="005E4ADD"/>
    <w:rsid w:val="006545DD"/>
    <w:rsid w:val="006D2677"/>
    <w:rsid w:val="006E058B"/>
    <w:rsid w:val="006E22B6"/>
    <w:rsid w:val="006E5DC4"/>
    <w:rsid w:val="00767010"/>
    <w:rsid w:val="00771323"/>
    <w:rsid w:val="00785B72"/>
    <w:rsid w:val="007B1577"/>
    <w:rsid w:val="00813508"/>
    <w:rsid w:val="008D2119"/>
    <w:rsid w:val="008D5B23"/>
    <w:rsid w:val="00956541"/>
    <w:rsid w:val="009567DB"/>
    <w:rsid w:val="009A16AE"/>
    <w:rsid w:val="00A00738"/>
    <w:rsid w:val="00A329C7"/>
    <w:rsid w:val="00A754AF"/>
    <w:rsid w:val="00AA2718"/>
    <w:rsid w:val="00B01A8C"/>
    <w:rsid w:val="00B13217"/>
    <w:rsid w:val="00B430D5"/>
    <w:rsid w:val="00B96B25"/>
    <w:rsid w:val="00BA3828"/>
    <w:rsid w:val="00BA40B2"/>
    <w:rsid w:val="00BB17A3"/>
    <w:rsid w:val="00BC78D2"/>
    <w:rsid w:val="00BD2313"/>
    <w:rsid w:val="00C227F1"/>
    <w:rsid w:val="00C22D80"/>
    <w:rsid w:val="00CA2018"/>
    <w:rsid w:val="00CE5D18"/>
    <w:rsid w:val="00D1529C"/>
    <w:rsid w:val="00DB6E97"/>
    <w:rsid w:val="00DD21B7"/>
    <w:rsid w:val="00DD3EF7"/>
    <w:rsid w:val="00E05D54"/>
    <w:rsid w:val="00E13451"/>
    <w:rsid w:val="00E15E81"/>
    <w:rsid w:val="00F61AA3"/>
    <w:rsid w:val="00FC70BA"/>
    <w:rsid w:val="00FC75BF"/>
    <w:rsid w:val="00FD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BD0F"/>
  <w15:chartTrackingRefBased/>
  <w15:docId w15:val="{DAFDFBF1-65B9-4DDE-A2DB-D344878AD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A38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A38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A38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A38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A38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A38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A38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A38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A38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A38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A38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A38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A382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A382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A382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A382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A382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A382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A38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A38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A38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A38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A38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A382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A382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A382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A38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A382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A3828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DB6E97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B6E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A329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329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329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29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29C7"/>
    <w:rPr>
      <w:b/>
      <w:bCs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1A4327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5501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0112"/>
  </w:style>
  <w:style w:type="paragraph" w:styleId="Piedepgina">
    <w:name w:val="footer"/>
    <w:basedOn w:val="Normal"/>
    <w:link w:val="PiedepginaCar"/>
    <w:uiPriority w:val="99"/>
    <w:unhideWhenUsed/>
    <w:rsid w:val="005501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ruposaesa.c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c00c7f-8788-471d-9c46-f842d630500f" xsi:nil="true"/>
    <lcf76f155ced4ddcb4097134ff3c332f xmlns="73452dc7-13d0-438d-8bf0-ee8805585d18">
      <Terms xmlns="http://schemas.microsoft.com/office/infopath/2007/PartnerControls"/>
    </lcf76f155ced4ddcb4097134ff3c332f>
    <Notas xmlns="73452dc7-13d0-438d-8bf0-ee8805585d1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3BA3021469E640947B264E8CEEBCAD" ma:contentTypeVersion="16" ma:contentTypeDescription="Crear nuevo documento." ma:contentTypeScope="" ma:versionID="7c0436dd2614f8b9d030851e4f66b788">
  <xsd:schema xmlns:xsd="http://www.w3.org/2001/XMLSchema" xmlns:xs="http://www.w3.org/2001/XMLSchema" xmlns:p="http://schemas.microsoft.com/office/2006/metadata/properties" xmlns:ns2="73452dc7-13d0-438d-8bf0-ee8805585d18" xmlns:ns3="33c00c7f-8788-471d-9c46-f842d630500f" targetNamespace="http://schemas.microsoft.com/office/2006/metadata/properties" ma:root="true" ma:fieldsID="a4e3fefa58306b5bcbf014e41fc741d6" ns2:_="" ns3:_="">
    <xsd:import namespace="73452dc7-13d0-438d-8bf0-ee8805585d18"/>
    <xsd:import namespace="33c00c7f-8788-471d-9c46-f842d6305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Not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452dc7-13d0-438d-8bf0-ee8805585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03e45f18-2e83-428b-912d-6abf8f9aca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Notas" ma:index="22" nillable="true" ma:displayName="Notas" ma:format="Dropdown" ma:internalName="Nota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00c7f-8788-471d-9c46-f842d630500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ee8a442-cb12-4231-b328-fbcb6c4a5e11}" ma:internalName="TaxCatchAll" ma:showField="CatchAllData" ma:web="33c00c7f-8788-471d-9c46-f842d6305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E1EC0-F6CC-40C3-AB01-6C4D9FF04CB0}">
  <ds:schemaRefs>
    <ds:schemaRef ds:uri="http://schemas.microsoft.com/office/2006/metadata/properties"/>
    <ds:schemaRef ds:uri="http://schemas.microsoft.com/office/infopath/2007/PartnerControls"/>
    <ds:schemaRef ds:uri="8fbd2804-1bb8-4af9-a6e7-c1981ba187fd"/>
    <ds:schemaRef ds:uri="33c00c7f-8788-471d-9c46-f842d630500f"/>
  </ds:schemaRefs>
</ds:datastoreItem>
</file>

<file path=customXml/itemProps2.xml><?xml version="1.0" encoding="utf-8"?>
<ds:datastoreItem xmlns:ds="http://schemas.openxmlformats.org/officeDocument/2006/customXml" ds:itemID="{CCA71869-35D7-4461-B39C-B4F9B411B9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02D8D-CC75-4B29-8035-1039F366EA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528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Sebastian Monroy Rodriguez</dc:creator>
  <cp:keywords/>
  <dc:description/>
  <cp:lastModifiedBy>Paola Constansa Yung Rodriguez</cp:lastModifiedBy>
  <cp:revision>4</cp:revision>
  <dcterms:created xsi:type="dcterms:W3CDTF">2025-09-01T21:41:00Z</dcterms:created>
  <dcterms:modified xsi:type="dcterms:W3CDTF">2025-09-01T21:42:00Z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Text">
    <vt:lpwstr>Información Publica</vt:lpwstr>
  </property>
  <property fmtid="{D5CDD505-2E9C-101B-9397-08002B2CF9AE}" pid="3" name="LastSaved">
    <vt:filetime>2020-11-03T00:00:00Z</vt:filetime>
  </property>
  <property fmtid="{D5CDD505-2E9C-101B-9397-08002B2CF9AE}" pid="4" name="MSIP_Label_11938f79-b0d9-4c59-ba8d-a6a2a4a4e964_Method">
    <vt:lpwstr>Standard</vt:lpwstr>
  </property>
  <property fmtid="{D5CDD505-2E9C-101B-9397-08002B2CF9AE}" pid="5" name="MSIP_Label_11938f79-b0d9-4c59-ba8d-a6a2a4a4e964_SiteId">
    <vt:lpwstr>136d6ab5-5b55-496f-97cb-2424247715ed</vt:lpwstr>
  </property>
  <property fmtid="{D5CDD505-2E9C-101B-9397-08002B2CF9AE}" pid="6" name="MediaServiceImageTags">
    <vt:lpwstr/>
  </property>
  <property fmtid="{D5CDD505-2E9C-101B-9397-08002B2CF9AE}" pid="7" name="ContentTypeId">
    <vt:lpwstr>0x0101000F3BA3021469E640947B264E8CEEBCAD</vt:lpwstr>
  </property>
  <property fmtid="{D5CDD505-2E9C-101B-9397-08002B2CF9AE}" pid="8" name="MSIP_Label_11938f79-b0d9-4c59-ba8d-a6a2a4a4e964_Enabled">
    <vt:lpwstr>true</vt:lpwstr>
  </property>
  <property fmtid="{D5CDD505-2E9C-101B-9397-08002B2CF9AE}" pid="9" name="MSIP_Label_11938f79-b0d9-4c59-ba8d-a6a2a4a4e964_ContentBits">
    <vt:lpwstr>2</vt:lpwstr>
  </property>
  <property fmtid="{D5CDD505-2E9C-101B-9397-08002B2CF9AE}" pid="10" name="ClassificationContentMarkingFooterShapeIds">
    <vt:lpwstr>5609148d,750c727f,2b6c3f40</vt:lpwstr>
  </property>
  <property fmtid="{D5CDD505-2E9C-101B-9397-08002B2CF9AE}" pid="11" name="MSIP_Label_11938f79-b0d9-4c59-ba8d-a6a2a4a4e964_SetDate">
    <vt:lpwstr>2023-10-17T15:26:11Z</vt:lpwstr>
  </property>
  <property fmtid="{D5CDD505-2E9C-101B-9397-08002B2CF9AE}" pid="12" name="Created">
    <vt:filetime>2020-10-27T00:00:00Z</vt:filetime>
  </property>
  <property fmtid="{D5CDD505-2E9C-101B-9397-08002B2CF9AE}" pid="13" name="ClassificationContentMarkingFooterFontProps">
    <vt:lpwstr>#000000,10,Calibri</vt:lpwstr>
  </property>
  <property fmtid="{D5CDD505-2E9C-101B-9397-08002B2CF9AE}" pid="14" name="MSIP_Label_11938f79-b0d9-4c59-ba8d-a6a2a4a4e964_Name">
    <vt:lpwstr>Publico</vt:lpwstr>
  </property>
  <property fmtid="{D5CDD505-2E9C-101B-9397-08002B2CF9AE}" pid="15" name="MSIP_Label_11938f79-b0d9-4c59-ba8d-a6a2a4a4e964_ActionId">
    <vt:lpwstr>f9fefb8e-e93e-4032-b5cd-4c81cb9b5e73</vt:lpwstr>
  </property>
</Properties>
</file>